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360" w:lineRule="auto"/>
        <w:jc w:val="center"/>
      </w:pPr>
      <w:r>
        <w:rPr>
          <w:b/>
          <w:sz w:val="42"/>
        </w:rPr>
        <w:t>CTFAgent 解题助手</w:t>
      </w:r>
    </w:p>
    <w:p>
      <w:pPr>
        <w:spacing w:after="40" w:line="360" w:lineRule="auto"/>
        <w:jc w:val="center"/>
      </w:pPr>
      <w:r>
        <w:rPr>
          <w:b/>
          <w:sz w:val="26"/>
        </w:rPr>
        <w:t>安装与使用指南</w:t>
      </w:r>
    </w:p>
    <w:p>
      <w:pPr>
        <w:spacing w:after="200" w:line="360" w:lineRule="auto"/>
        <w:jc w:val="center"/>
      </w:pPr>
      <w:r>
        <w:rPr>
          <w:b w:val="0"/>
          <w:color w:val="777777"/>
          <w:sz w:val="19"/>
        </w:rPr>
        <w:t>Windows 10 / 11 · 全程约 10 分钟</w:t>
      </w:r>
    </w:p>
    <w:p>
      <w:pPr>
        <w:spacing w:before="220" w:after="100"/>
      </w:pPr>
      <w:r>
        <w:rPr>
          <w:b/>
          <w:color w:val="0B6B4F"/>
          <w:sz w:val="26"/>
        </w:rPr>
        <w:t>一、开始之前</w:t>
      </w:r>
    </w:p>
    <w:p>
      <w:pPr>
        <w:spacing w:after="60" w:line="360" w:lineRule="auto"/>
        <w:ind w:left="312"/>
      </w:pPr>
      <w:r>
        <w:rPr>
          <w:b w:val="0"/>
          <w:sz w:val="21"/>
        </w:rPr>
        <w:t>· 系统 Windows 10 / 11 64 位，内存 8 GB 以上，空闲硬盘 25 GB 以上。</w:t>
      </w:r>
    </w:p>
    <w:p>
      <w:pPr>
        <w:spacing w:after="60" w:line="360" w:lineRule="auto"/>
        <w:ind w:left="312"/>
      </w:pPr>
      <w:r>
        <w:rPr>
          <w:b w:val="0"/>
          <w:sz w:val="21"/>
        </w:rPr>
        <w:t>· 确认已开启 CPU 虚拟化：任务管理器 → 性能 → CPU → 右下角「虚拟化：已启用」。</w:t>
      </w:r>
    </w:p>
    <w:p>
      <w:pPr>
        <w:spacing w:after="60" w:line="360" w:lineRule="auto"/>
        <w:ind w:left="312"/>
      </w:pPr>
      <w:r>
        <w:rPr>
          <w:b w:val="0"/>
          <w:sz w:val="21"/>
        </w:rPr>
        <w:t>· 安装期间暂时退出 360、火绒或 Windows Defender，避免误拦。</w:t>
      </w:r>
    </w:p>
    <w:p>
      <w:pPr>
        <w:spacing w:after="160"/>
        <w:ind w:left="227"/>
      </w:pPr>
      <w:r>
        <w:rPr>
          <w:b/>
          <w:color w:val="B43A00"/>
          <w:sz w:val="19"/>
        </w:rPr>
        <w:t>注意　虚拟化未开启时，安装程序会在自检环节中止。需重启进入 BIOS 开启（Intel 为 VT-x，AMD 为 SVM）。</w:t>
      </w:r>
    </w:p>
    <w:p>
      <w:pPr>
        <w:spacing w:before="220" w:after="100"/>
      </w:pPr>
      <w:r>
        <w:rPr>
          <w:b/>
          <w:color w:val="0B6B4F"/>
          <w:sz w:val="26"/>
        </w:rPr>
        <w:t>二、安装</w:t>
      </w:r>
    </w:p>
    <w:p>
      <w:pPr>
        <w:spacing w:after="120" w:line="360" w:lineRule="auto"/>
      </w:pPr>
      <w:r>
        <w:rPr>
          <w:b w:val="0"/>
          <w:sz w:val="21"/>
        </w:rPr>
        <w:t>将完整文件夹拷贝到本地硬盘（建议 D 盘），双击其中的 setup.exe，会打开一个黑色窗口。这是安装程序的运行界面，安装期间不要关闭。</w:t>
      </w:r>
    </w:p>
    <w:p>
      <w:pPr>
        <w:spacing w:after="120" w:line="360" w:lineRule="auto"/>
      </w:pPr>
      <w:r>
        <w:rPr>
          <w:b w:val="0"/>
          <w:sz w:val="21"/>
        </w:rPr>
        <w:t>程序会依次完成：环境自检、检查 VirtualBox、解压系统镜像、创建桌面图标并生成激活请求码。整个过程约 3 至 8 分钟，窗口自动关闭即表示安装完成。</w:t>
      </w:r>
    </w:p>
    <w:p>
      <w:pPr>
        <w:spacing w:before="60" w:after="40"/>
        <w:jc w:val="center"/>
      </w:pPr>
      <w:r>
        <w:drawing>
          <wp:inline xmlns:a="http://schemas.openxmlformats.org/drawingml/2006/main" xmlns:pic="http://schemas.openxmlformats.org/drawingml/2006/picture">
            <wp:extent cx="4536000" cy="27699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etu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769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color w:val="777777"/>
          <w:sz w:val="17"/>
        </w:rPr>
        <w:t>安装过程：环境自检、检查 VirtualBox、解压镜像</w:t>
      </w:r>
    </w:p>
    <w:p>
      <w:pPr>
        <w:spacing w:after="160"/>
        <w:ind w:left="227"/>
      </w:pPr>
      <w:r>
        <w:rPr>
          <w:b/>
          <w:color w:val="B43A00"/>
          <w:sz w:val="19"/>
        </w:rPr>
        <w:t>注意　窗口闪退时，打开 C:\Users\你的用户名\AppData\Local\CTFAgent\setup.log 查看最后几行，并将该文件发给供应商。</w:t>
      </w:r>
    </w:p>
    <w:p>
      <w:pPr>
        <w:spacing w:before="220" w:after="100"/>
      </w:pPr>
      <w:r>
        <w:rPr>
          <w:b/>
          <w:color w:val="0B6B4F"/>
          <w:sz w:val="26"/>
        </w:rPr>
        <w:t>三、激活</w:t>
      </w:r>
    </w:p>
    <w:p>
      <w:pPr>
        <w:spacing w:after="120" w:line="360" w:lineRule="auto"/>
      </w:pPr>
      <w:r>
        <w:rPr>
          <w:b w:val="0"/>
          <w:sz w:val="21"/>
        </w:rPr>
        <w:t>安装完成后，桌面上会出现程序图标和一个名为「激活请求码.txt」的文件。双击打开该文件，按 Ctrl+A 全选、Ctrl+C 复制，通过微信发给供应商。</w:t>
      </w:r>
    </w:p>
    <w:p>
      <w:pPr>
        <w:spacing w:before="60" w:after="40"/>
        <w:jc w:val="center"/>
      </w:pPr>
      <w:r>
        <w:drawing>
          <wp:inline xmlns:a="http://schemas.openxmlformats.org/drawingml/2006/main" xmlns:pic="http://schemas.openxmlformats.org/drawingml/2006/picture">
            <wp:extent cx="4536000" cy="2769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request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769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color w:val="777777"/>
          <w:sz w:val="17"/>
        </w:rPr>
        <w:t>激活请求码：以 CTFREQ1- 开头的长字符串</w:t>
      </w:r>
    </w:p>
    <w:p>
      <w:pPr>
        <w:spacing w:after="120" w:line="360" w:lineRule="auto"/>
      </w:pPr>
      <w:r>
        <w:rPr>
          <w:b w:val="0"/>
          <w:sz w:val="21"/>
        </w:rPr>
        <w:t>供应商会回复两个文件：license 开头的授权文件和 kb 结尾的知识库密钥，两者都需要。将这两个文件放到桌面，然后双击程序图标。首次启动时程序会自动读取并完成激活，无需手动导入。</w:t>
      </w:r>
    </w:p>
    <w:p>
      <w:pPr>
        <w:spacing w:after="120" w:line="360" w:lineRule="auto"/>
      </w:pPr>
      <w:r>
        <w:rPr>
          <w:b/>
          <w:sz w:val="21"/>
        </w:rPr>
        <w:t>控制台能正常打开，即表示安装与激活均已完成。</w:t>
      </w:r>
    </w:p>
    <w:p>
      <w:pPr>
        <w:spacing w:before="60" w:after="40"/>
        <w:jc w:val="center"/>
      </w:pPr>
      <w:r>
        <w:drawing>
          <wp:inline xmlns:a="http://schemas.openxmlformats.org/drawingml/2006/main" xmlns:pic="http://schemas.openxmlformats.org/drawingml/2006/picture">
            <wp:extent cx="4536000" cy="283651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mai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836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color w:val="777777"/>
          <w:sz w:val="17"/>
        </w:rPr>
        <w:t>主界面：顶部是平台与调度操作区，左侧题目列表，右侧运行日志</w:t>
      </w:r>
    </w:p>
    <w:p>
      <w:pPr>
        <w:spacing w:before="220" w:after="100"/>
      </w:pPr>
      <w:r>
        <w:rPr>
          <w:b/>
          <w:color w:val="0B6B4F"/>
          <w:sz w:val="26"/>
        </w:rPr>
        <w:t>四、配置 DeepSeek API Key</w:t>
      </w:r>
    </w:p>
    <w:p>
      <w:pPr>
        <w:spacing w:after="120" w:line="360" w:lineRule="auto"/>
      </w:pPr>
      <w:r>
        <w:rPr>
          <w:b w:val="0"/>
          <w:sz w:val="21"/>
        </w:rPr>
        <w:t>点击右上角「AI 设置」，进入配置页面。</w:t>
      </w:r>
    </w:p>
    <w:p>
      <w:pPr>
        <w:spacing w:after="120" w:line="360" w:lineRule="auto"/>
      </w:pPr>
      <w:r>
        <w:rPr>
          <w:b w:val="0"/>
          <w:sz w:val="21"/>
        </w:rPr>
        <w:t>获取密钥：访问 platform.deepseek.com，登录后进入 API keys，创建并复制以 sk- 开头的字符串（仅显示一次）。回到控制台粘贴，点击「保存并测试」，提示已配置即成功。</w:t>
      </w:r>
    </w:p>
    <w:p>
      <w:pPr>
        <w:spacing w:before="60" w:after="40"/>
        <w:jc w:val="center"/>
      </w:pPr>
      <w:r>
        <w:drawing>
          <wp:inline xmlns:a="http://schemas.openxmlformats.org/drawingml/2006/main" xmlns:pic="http://schemas.openxmlformats.org/drawingml/2006/picture">
            <wp:extent cx="4536000" cy="28365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ai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836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color w:val="777777"/>
          <w:sz w:val="17"/>
        </w:rPr>
        <w:t>AI 设置：粘贴密钥后点击「保存并测试」</w:t>
      </w:r>
    </w:p>
    <w:p>
      <w:pPr>
        <w:spacing w:after="120" w:line="360" w:lineRule="auto"/>
      </w:pPr>
      <w:r>
        <w:rPr>
          <w:b w:val="0"/>
          <w:sz w:val="21"/>
        </w:rPr>
        <w:t>费用按实际用量计算，账单在 DeepSeek 后台，不经过供应商。内置平台不填密钥也可运行，接入新平台或处理复杂题目时需要配置。</w:t>
      </w:r>
    </w:p>
    <w:p>
      <w:pPr>
        <w:spacing w:before="220" w:after="100"/>
      </w:pPr>
      <w:r>
        <w:rPr>
          <w:b/>
          <w:color w:val="0B6B4F"/>
          <w:sz w:val="26"/>
        </w:rPr>
        <w:t>五、安装浏览器扩展并同步登录</w:t>
      </w:r>
    </w:p>
    <w:p>
      <w:pPr>
        <w:spacing w:after="120" w:line="360" w:lineRule="auto"/>
      </w:pPr>
      <w:r>
        <w:rPr>
          <w:b w:val="0"/>
          <w:sz w:val="21"/>
        </w:rPr>
        <w:t>多数平台要求登录后才能提交 flag，部分平台还有 WAF 会拦截程序发起的请求，因此需要安装配套扩展。</w:t>
      </w:r>
    </w:p>
    <w:p>
      <w:pPr>
        <w:spacing w:after="120" w:line="360" w:lineRule="auto"/>
      </w:pPr>
      <w:r>
        <w:rPr>
          <w:b w:val="0"/>
          <w:sz w:val="21"/>
        </w:rPr>
        <w:t>安装：打开安装包内的「会话桥扩展」文件夹 → 浏览器地址栏输入 edge://extensions → 打开左下角「开发人员模式」→ 点击「加载解压缩的扩展」→ 选择该文件夹。</w:t>
      </w:r>
    </w:p>
    <w:p>
      <w:pPr>
        <w:spacing w:before="60" w:after="40"/>
        <w:jc w:val="center"/>
      </w:pPr>
      <w:r>
        <w:drawing>
          <wp:inline xmlns:a="http://schemas.openxmlformats.org/drawingml/2006/main" xmlns:pic="http://schemas.openxmlformats.org/drawingml/2006/picture">
            <wp:extent cx="4536000" cy="283651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ext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836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color w:val="777777"/>
          <w:sz w:val="17"/>
        </w:rPr>
        <w:t>安装成功后，扩展列表中会出现「CTFAgent 会话桥」</w:t>
      </w:r>
    </w:p>
    <w:p>
      <w:pPr>
        <w:spacing w:after="120" w:line="360" w:lineRule="auto"/>
      </w:pPr>
      <w:r>
        <w:rPr>
          <w:b w:val="0"/>
          <w:sz w:val="21"/>
        </w:rPr>
        <w:t>同步：在浏览器中正常登录比赛平台 → 点击扩展图标 → 选择「同步」→ 回到控制台打开「平台接入」，确认状态为已登录。</w:t>
      </w:r>
    </w:p>
    <w:p>
      <w:pPr>
        <w:spacing w:after="160"/>
        <w:ind w:left="227"/>
      </w:pPr>
      <w:r>
        <w:rPr>
          <w:b/>
          <w:color w:val="B43A00"/>
          <w:sz w:val="19"/>
        </w:rPr>
        <w:t>注意　未安装扩展或未同步时，题目可以解出，但提交会返回「请登录后答题」。</w:t>
      </w:r>
    </w:p>
    <w:p>
      <w:pPr>
        <w:spacing w:before="220" w:after="100"/>
      </w:pPr>
      <w:r>
        <w:rPr>
          <w:b/>
          <w:color w:val="0B6B4F"/>
          <w:sz w:val="26"/>
        </w:rPr>
        <w:t>六、运行第一道题</w:t>
      </w:r>
    </w:p>
    <w:p>
      <w:pPr>
        <w:spacing w:after="120" w:line="360" w:lineRule="auto"/>
      </w:pPr>
      <w:r>
        <w:rPr>
          <w:b w:val="0"/>
          <w:sz w:val="21"/>
        </w:rPr>
        <w:t>在控制台顶部选择平台与题目集，在列表中勾选 2 至 3 道题，点击「开始调度」。题目状态会从待处理变为解题中，右侧日志会实时显示下载附件、编写脚本、执行命令等过程。</w:t>
      </w:r>
    </w:p>
    <w:p>
      <w:pPr>
        <w:spacing w:after="120" w:line="360" w:lineRule="auto"/>
      </w:pPr>
      <w:r>
        <w:rPr>
          <w:b w:val="0"/>
          <w:sz w:val="21"/>
        </w:rPr>
        <w:t>跑完点击顶部「本次调度」，可以查看这一批的完整结果：</w:t>
      </w:r>
    </w:p>
    <w:p>
      <w:pPr>
        <w:spacing w:before="60" w:after="40"/>
        <w:jc w:val="center"/>
      </w:pPr>
      <w:r>
        <w:drawing>
          <wp:inline xmlns:a="http://schemas.openxmlformats.org/drawingml/2006/main" xmlns:pic="http://schemas.openxmlformats.org/drawingml/2006/picture">
            <wp:extent cx="4536000" cy="28334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run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833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color w:val="777777"/>
          <w:sz w:val="17"/>
        </w:rPr>
        <w:t>一次运行结果：4 道全部解出，用时 6 分 33 秒，花费 ¥1.41</w:t>
      </w:r>
    </w:p>
    <w:p>
      <w:pPr>
        <w:spacing w:after="120" w:line="360" w:lineRule="auto"/>
      </w:pPr>
      <w:r>
        <w:rPr>
          <w:b w:val="0"/>
          <w:sz w:val="21"/>
        </w:rPr>
        <w:t>解出的题目在列表中变绿，点击该行右侧图标可查看自动生成的复盘，内容包括考点分析、执行过的命令与输出、flag 的推导过程。</w:t>
      </w:r>
    </w:p>
    <w:p>
      <w:pPr>
        <w:spacing w:after="160"/>
        <w:ind w:left="227"/>
      </w:pPr>
      <w:r>
        <w:rPr>
          <w:b/>
          <w:color w:val="B43A00"/>
          <w:sz w:val="19"/>
        </w:rPr>
        <w:t>注意　首次使用建议只勾选 2 至 3 道，确认流程通畅后再增加数量。可在「约束」中设置单题预算上限，避免高难度题目消耗过多额度。</w:t>
      </w:r>
    </w:p>
    <w:p>
      <w:pPr>
        <w:spacing w:before="220" w:after="100"/>
      </w:pPr>
      <w:r>
        <w:rPr>
          <w:b/>
          <w:color w:val="0B6B4F"/>
          <w:sz w:val="26"/>
        </w:rPr>
        <w:t>七、常见问题</w:t>
      </w:r>
    </w:p>
    <w:p>
      <w:pPr>
        <w:spacing w:after="40" w:line="360" w:lineRule="auto"/>
      </w:pPr>
      <w:r>
        <w:rPr>
          <w:b/>
          <w:sz w:val="21"/>
        </w:rPr>
        <w:t>安装窗口闪退</w:t>
      </w:r>
    </w:p>
    <w:p>
      <w:pPr>
        <w:spacing w:after="120" w:line="360" w:lineRule="auto"/>
      </w:pPr>
      <w:r>
        <w:rPr>
          <w:b w:val="0"/>
          <w:sz w:val="21"/>
        </w:rPr>
        <w:t>查看 setup.log 最后几行，并将该文件发回。</w:t>
      </w:r>
    </w:p>
    <w:p>
      <w:pPr>
        <w:spacing w:after="40" w:line="360" w:lineRule="auto"/>
      </w:pPr>
      <w:r>
        <w:rPr>
          <w:b/>
          <w:sz w:val="21"/>
        </w:rPr>
        <w:t>提示虚拟化不可用</w:t>
      </w:r>
    </w:p>
    <w:p>
      <w:pPr>
        <w:spacing w:after="120" w:line="360" w:lineRule="auto"/>
      </w:pPr>
      <w:r>
        <w:rPr>
          <w:b w:val="0"/>
          <w:sz w:val="21"/>
        </w:rPr>
        <w:t>进入 BIOS 开启 VT-x 或 SVM。如已启用 Hyper-V、WSL2 或 Docker，按安装程序提示处理，可能需要重启一次。</w:t>
      </w:r>
    </w:p>
    <w:p>
      <w:pPr>
        <w:spacing w:after="40" w:line="360" w:lineRule="auto"/>
      </w:pPr>
      <w:r>
        <w:rPr>
          <w:b/>
          <w:sz w:val="21"/>
        </w:rPr>
        <w:t>虚拟机启动卡在 Loading essential drivers</w:t>
      </w:r>
    </w:p>
    <w:p>
      <w:pPr>
        <w:spacing w:after="120" w:line="360" w:lineRule="auto"/>
      </w:pPr>
      <w:r>
        <w:rPr>
          <w:b w:val="0"/>
          <w:sz w:val="21"/>
        </w:rPr>
        <w:t>重启电脑后重试；如仍出现，关闭 VirtualBox 中其它正在运行的虚拟机。</w:t>
      </w:r>
    </w:p>
    <w:p>
      <w:pPr>
        <w:spacing w:after="40" w:line="360" w:lineRule="auto"/>
      </w:pPr>
      <w:r>
        <w:rPr>
          <w:b/>
          <w:sz w:val="21"/>
        </w:rPr>
        <w:t>提交失败或提示请登录后答题</w:t>
      </w:r>
    </w:p>
    <w:p>
      <w:pPr>
        <w:spacing w:after="120" w:line="360" w:lineRule="auto"/>
      </w:pPr>
      <w:r>
        <w:rPr>
          <w:b w:val="0"/>
          <w:sz w:val="21"/>
        </w:rPr>
        <w:t>登录状态未同步，按第五节重新操作一次。</w:t>
      </w:r>
    </w:p>
    <w:p>
      <w:pPr>
        <w:spacing w:after="40" w:line="360" w:lineRule="auto"/>
      </w:pPr>
      <w:r>
        <w:rPr>
          <w:b/>
          <w:sz w:val="21"/>
        </w:rPr>
        <w:t>提交返回 503 或维护中</w:t>
      </w:r>
    </w:p>
    <w:p>
      <w:pPr>
        <w:spacing w:after="120" w:line="360" w:lineRule="auto"/>
      </w:pPr>
      <w:r>
        <w:rPr>
          <w:b w:val="0"/>
          <w:sz w:val="21"/>
        </w:rPr>
        <w:t>属于平台侧问题，答案会被保留，过几分钟重新运行即可重投。</w:t>
      </w:r>
    </w:p>
    <w:p>
      <w:pPr>
        <w:spacing w:after="40" w:line="360" w:lineRule="auto"/>
      </w:pPr>
      <w:r>
        <w:rPr>
          <w:b/>
          <w:sz w:val="21"/>
        </w:rPr>
        <w:t>更换电脑或授权失效</w:t>
      </w:r>
    </w:p>
    <w:p>
      <w:pPr>
        <w:spacing w:after="120" w:line="360" w:lineRule="auto"/>
      </w:pPr>
      <w:r>
        <w:rPr>
          <w:b w:val="0"/>
          <w:sz w:val="21"/>
        </w:rPr>
        <w:t>重新生成请求码并发送给供应商，换取新的授权文件。</w:t>
      </w:r>
    </w:p>
    <w:p>
      <w:pPr>
        <w:spacing w:after="80" w:line="360" w:lineRule="auto"/>
      </w:pPr>
    </w:p>
    <w:p>
      <w:pPr>
        <w:spacing w:after="40" w:line="360" w:lineRule="auto"/>
      </w:pPr>
      <w:r>
        <w:rPr>
          <w:b w:val="0"/>
          <w:sz w:val="21"/>
        </w:rPr>
        <w:t>安装或运行过程中遇到问题，可将 setup.log 或调度输出截图发回。</w:t>
      </w:r>
    </w:p>
    <w:p>
      <w:pPr>
        <w:spacing w:after="120" w:line="360" w:lineRule="auto"/>
      </w:pPr>
      <w:r>
        <w:rPr>
          <w:b w:val="0"/>
          <w:sz w:val="21"/>
        </w:rPr>
        <w:t>程序本身的问题由供应商负责处理。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